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DBC" w:rsidRDefault="004E0DBC" w:rsidP="004E0DBC">
      <w:pPr>
        <w:rPr>
          <w:rFonts w:ascii="Arial" w:hAnsi="Arial" w:cs="Arial"/>
          <w:sz w:val="24"/>
          <w:szCs w:val="24"/>
        </w:rPr>
      </w:pPr>
      <w:bookmarkStart w:id="0" w:name="_GoBack"/>
      <w:bookmarkEnd w:id="0"/>
      <w:r>
        <w:rPr>
          <w:rFonts w:ascii="Arial" w:hAnsi="Arial" w:cs="Arial"/>
          <w:sz w:val="24"/>
          <w:szCs w:val="24"/>
        </w:rPr>
        <w:t xml:space="preserve">Sukladno odredbi članaka 227. Stavak 1 SZ (Nn 71/15) za izvještajno ročište zakazano za 19. travnja 2016. godine, podnosim sljedeće </w:t>
      </w:r>
    </w:p>
    <w:p w:rsidR="004E0DBC" w:rsidRDefault="004E0DBC" w:rsidP="004E0DBC">
      <w:pPr>
        <w:rPr>
          <w:rFonts w:ascii="Arial" w:hAnsi="Arial" w:cs="Arial"/>
          <w:sz w:val="24"/>
          <w:szCs w:val="24"/>
        </w:rPr>
      </w:pPr>
    </w:p>
    <w:p w:rsidR="004E0DBC" w:rsidRDefault="004E0DBC" w:rsidP="004E0DBC">
      <w:pPr>
        <w:jc w:val="center"/>
        <w:rPr>
          <w:rFonts w:ascii="Arial" w:hAnsi="Arial" w:cs="Arial"/>
          <w:sz w:val="24"/>
          <w:szCs w:val="24"/>
        </w:rPr>
      </w:pPr>
      <w:r>
        <w:rPr>
          <w:rFonts w:ascii="Arial" w:hAnsi="Arial" w:cs="Arial"/>
          <w:sz w:val="24"/>
          <w:szCs w:val="24"/>
        </w:rPr>
        <w:t>IZVJEŠĆE o</w:t>
      </w:r>
    </w:p>
    <w:p w:rsidR="004E0DBC" w:rsidRDefault="004E0DBC" w:rsidP="004E0DBC">
      <w:pPr>
        <w:jc w:val="center"/>
        <w:rPr>
          <w:rFonts w:ascii="Arial" w:hAnsi="Arial" w:cs="Arial"/>
          <w:sz w:val="24"/>
          <w:szCs w:val="24"/>
        </w:rPr>
      </w:pPr>
      <w:r>
        <w:rPr>
          <w:rFonts w:ascii="Arial" w:hAnsi="Arial" w:cs="Arial"/>
          <w:sz w:val="24"/>
          <w:szCs w:val="24"/>
        </w:rPr>
        <w:t>gospodarskom položaju dužnika i njegovim uzrocima</w:t>
      </w:r>
    </w:p>
    <w:p w:rsidR="004E0DBC" w:rsidRDefault="004E0DBC" w:rsidP="004E0DBC">
      <w:pPr>
        <w:rPr>
          <w:rFonts w:ascii="Arial" w:hAnsi="Arial" w:cs="Arial"/>
          <w:sz w:val="24"/>
          <w:szCs w:val="24"/>
        </w:rPr>
      </w:pPr>
    </w:p>
    <w:p w:rsidR="004E0DBC" w:rsidRDefault="004E0DBC" w:rsidP="004E0DBC">
      <w:pPr>
        <w:rPr>
          <w:rFonts w:ascii="Arial" w:hAnsi="Arial" w:cs="Arial"/>
          <w:sz w:val="24"/>
          <w:szCs w:val="24"/>
        </w:rPr>
      </w:pPr>
      <w:r>
        <w:rPr>
          <w:rFonts w:ascii="Arial" w:hAnsi="Arial" w:cs="Arial"/>
          <w:sz w:val="24"/>
          <w:szCs w:val="24"/>
        </w:rPr>
        <w:t>UVOD</w:t>
      </w:r>
    </w:p>
    <w:p w:rsidR="004E0DBC" w:rsidRDefault="004E0DBC" w:rsidP="004E0DBC">
      <w:pPr>
        <w:rPr>
          <w:rFonts w:ascii="Arial" w:hAnsi="Arial" w:cs="Arial"/>
          <w:sz w:val="24"/>
          <w:szCs w:val="24"/>
        </w:rPr>
      </w:pPr>
      <w:r>
        <w:rPr>
          <w:rFonts w:ascii="Arial" w:hAnsi="Arial" w:cs="Arial"/>
          <w:sz w:val="24"/>
          <w:szCs w:val="24"/>
        </w:rPr>
        <w:t xml:space="preserve">Odredbom članka 216 st.1 SZ (71/15) stečajni upravitelj je dužan cjelokupnu imovinu koja ulazi u stečajnu masu preuzeti u posjed i njome upravljati. </w:t>
      </w:r>
    </w:p>
    <w:p w:rsidR="004E0DBC" w:rsidRDefault="004E0DBC" w:rsidP="004E0DBC">
      <w:pPr>
        <w:rPr>
          <w:rFonts w:ascii="Arial" w:hAnsi="Arial" w:cs="Arial"/>
          <w:sz w:val="24"/>
          <w:szCs w:val="24"/>
        </w:rPr>
      </w:pPr>
      <w:r>
        <w:rPr>
          <w:rFonts w:ascii="Arial" w:hAnsi="Arial" w:cs="Arial"/>
          <w:sz w:val="24"/>
          <w:szCs w:val="24"/>
        </w:rPr>
        <w:t xml:space="preserve">Sa zakonskim  zastupnikom  dužnika do otvaranja stečajnog postupka, kao ni u prethodnom postupku nije  ostvaren kontakt tako da stečajni upravitelj nije mogao postupiti  po navedenoj odredbi SZ. Stoga će stečajni upravitelj , u nastavku ovog stečajnog postupka, glede imovine stečajnog dužnika i stupanja  u (na) posjed koristiti institut </w:t>
      </w:r>
      <w:r w:rsidR="00A35E8F">
        <w:rPr>
          <w:rFonts w:ascii="Arial" w:hAnsi="Arial" w:cs="Arial"/>
          <w:sz w:val="24"/>
          <w:szCs w:val="24"/>
        </w:rPr>
        <w:t xml:space="preserve">dopuštene </w:t>
      </w:r>
      <w:r>
        <w:rPr>
          <w:rFonts w:ascii="Arial" w:hAnsi="Arial" w:cs="Arial"/>
          <w:sz w:val="24"/>
          <w:szCs w:val="24"/>
        </w:rPr>
        <w:t xml:space="preserve">samopomoći – sukladno članku </w:t>
      </w:r>
      <w:r w:rsidR="00A35E8F">
        <w:rPr>
          <w:rFonts w:ascii="Arial" w:hAnsi="Arial" w:cs="Arial"/>
          <w:sz w:val="24"/>
          <w:szCs w:val="24"/>
        </w:rPr>
        <w:t xml:space="preserve">27 ZV u svezi s člankom 18. st. 1, 2 i 3 ZV. </w:t>
      </w:r>
    </w:p>
    <w:p w:rsidR="004E0DBC" w:rsidRDefault="004E0DBC" w:rsidP="004E0DBC">
      <w:pPr>
        <w:rPr>
          <w:rFonts w:ascii="Arial" w:hAnsi="Arial" w:cs="Arial"/>
          <w:sz w:val="24"/>
          <w:szCs w:val="24"/>
        </w:rPr>
      </w:pPr>
      <w:r>
        <w:rPr>
          <w:rFonts w:ascii="Arial" w:hAnsi="Arial" w:cs="Arial"/>
          <w:sz w:val="24"/>
          <w:szCs w:val="24"/>
        </w:rPr>
        <w:t>.</w:t>
      </w:r>
    </w:p>
    <w:p w:rsidR="004E0DBC" w:rsidRDefault="004E0DBC" w:rsidP="004E0DBC">
      <w:pPr>
        <w:rPr>
          <w:rFonts w:ascii="Arial" w:hAnsi="Arial" w:cs="Arial"/>
          <w:sz w:val="24"/>
          <w:szCs w:val="24"/>
        </w:rPr>
      </w:pPr>
    </w:p>
    <w:p w:rsidR="004E0DBC" w:rsidRDefault="004E0DBC" w:rsidP="004E0DBC">
      <w:pPr>
        <w:rPr>
          <w:rFonts w:ascii="Arial" w:hAnsi="Arial" w:cs="Arial"/>
          <w:b/>
          <w:sz w:val="24"/>
          <w:szCs w:val="24"/>
        </w:rPr>
      </w:pPr>
      <w:r w:rsidRPr="00FA151B">
        <w:rPr>
          <w:rFonts w:ascii="Arial" w:hAnsi="Arial" w:cs="Arial"/>
          <w:b/>
          <w:sz w:val="24"/>
          <w:szCs w:val="24"/>
        </w:rPr>
        <w:t>Gospodarski položaj dužnika i njegovi uzroci</w:t>
      </w:r>
      <w:r>
        <w:rPr>
          <w:rFonts w:ascii="Arial" w:hAnsi="Arial" w:cs="Arial"/>
          <w:b/>
          <w:sz w:val="24"/>
          <w:szCs w:val="24"/>
        </w:rPr>
        <w:t xml:space="preserve"> </w:t>
      </w:r>
    </w:p>
    <w:p w:rsidR="004E0DBC" w:rsidRDefault="004E0DBC" w:rsidP="004E0DBC">
      <w:pPr>
        <w:rPr>
          <w:rFonts w:ascii="Arial" w:hAnsi="Arial" w:cs="Arial"/>
          <w:sz w:val="24"/>
          <w:szCs w:val="24"/>
        </w:rPr>
      </w:pPr>
      <w:r>
        <w:rPr>
          <w:rFonts w:ascii="Arial" w:hAnsi="Arial" w:cs="Arial"/>
          <w:sz w:val="24"/>
          <w:szCs w:val="24"/>
        </w:rPr>
        <w:t xml:space="preserve">Osnovne uzroke koji su doveli dužnika u stanje nesposobnosti plaćanja, i time do otvaranja stečajnog postupka apostofirani su još u Izvješću o uvjetima za otvaranje stečajnog postupka, podnijetom u prethodnom postupku. </w:t>
      </w:r>
      <w:r w:rsidR="00CC57E2">
        <w:rPr>
          <w:rFonts w:ascii="Arial" w:hAnsi="Arial" w:cs="Arial"/>
          <w:sz w:val="24"/>
          <w:szCs w:val="24"/>
        </w:rPr>
        <w:t xml:space="preserve">Kako nemam novih saznanja </w:t>
      </w:r>
      <w:r>
        <w:rPr>
          <w:rFonts w:ascii="Arial" w:hAnsi="Arial" w:cs="Arial"/>
          <w:sz w:val="24"/>
          <w:szCs w:val="24"/>
        </w:rPr>
        <w:t xml:space="preserve"> ukratko ponavljam već istaknuto:</w:t>
      </w:r>
    </w:p>
    <w:p w:rsidR="00A35E8F" w:rsidRPr="00A35E8F" w:rsidRDefault="00A35E8F" w:rsidP="00A35E8F">
      <w:pPr>
        <w:rPr>
          <w:rFonts w:ascii="Arial" w:hAnsi="Arial" w:cs="Arial"/>
          <w:sz w:val="24"/>
          <w:szCs w:val="24"/>
        </w:rPr>
      </w:pPr>
      <w:r w:rsidRPr="00A35E8F">
        <w:rPr>
          <w:rFonts w:ascii="Arial" w:hAnsi="Arial" w:cs="Arial"/>
          <w:sz w:val="24"/>
          <w:szCs w:val="24"/>
        </w:rPr>
        <w:t xml:space="preserve">Savudrija inženjering d.o.o. osnovano je od strane jedinog člana društva, 2004. godine. Upisano je pod MBS 040194717 kod Trgovačkog suda u Pazinu. OIB:47689503586, sa sjedištem u Umagu, Savudrija, Crveni vrh 160. </w:t>
      </w:r>
    </w:p>
    <w:p w:rsidR="00A35E8F" w:rsidRPr="00A35E8F" w:rsidRDefault="00A35E8F" w:rsidP="00A35E8F">
      <w:pPr>
        <w:rPr>
          <w:rFonts w:ascii="Arial" w:hAnsi="Arial" w:cs="Arial"/>
          <w:sz w:val="24"/>
          <w:szCs w:val="24"/>
        </w:rPr>
      </w:pPr>
      <w:r w:rsidRPr="00A35E8F">
        <w:rPr>
          <w:rFonts w:ascii="Arial" w:hAnsi="Arial" w:cs="Arial"/>
          <w:sz w:val="24"/>
          <w:szCs w:val="24"/>
        </w:rPr>
        <w:t xml:space="preserve">Predmet poslovanja društva je </w:t>
      </w:r>
      <w:r>
        <w:rPr>
          <w:rFonts w:ascii="Arial" w:hAnsi="Arial" w:cs="Arial"/>
          <w:sz w:val="24"/>
          <w:szCs w:val="24"/>
        </w:rPr>
        <w:t xml:space="preserve">bio </w:t>
      </w:r>
      <w:r w:rsidRPr="00A35E8F">
        <w:rPr>
          <w:rFonts w:ascii="Arial" w:hAnsi="Arial" w:cs="Arial"/>
          <w:sz w:val="24"/>
          <w:szCs w:val="24"/>
        </w:rPr>
        <w:t>poslovanje nekretninama, projektiranje, građenje i nadzor u građenju;  kupnja, prodaja i trgovačko posredovanje u prometu roba; pripremanje hrane i pružanje usluga prehrane, pripremanje i usluživanje pića i napitaka i pružanje usluga smještaja.</w:t>
      </w:r>
    </w:p>
    <w:p w:rsidR="00A35E8F" w:rsidRPr="00A35E8F" w:rsidRDefault="00A35E8F" w:rsidP="00A35E8F">
      <w:pPr>
        <w:rPr>
          <w:rFonts w:ascii="Arial" w:hAnsi="Arial" w:cs="Arial"/>
          <w:sz w:val="24"/>
          <w:szCs w:val="24"/>
        </w:rPr>
      </w:pPr>
      <w:r w:rsidRPr="00A35E8F">
        <w:rPr>
          <w:rFonts w:ascii="Arial" w:hAnsi="Arial" w:cs="Arial"/>
          <w:sz w:val="24"/>
          <w:szCs w:val="24"/>
        </w:rPr>
        <w:t>Upisani temeljni kapital društva iznosi 20.000,00 kn.</w:t>
      </w:r>
    </w:p>
    <w:p w:rsidR="00A35E8F" w:rsidRDefault="00A35E8F" w:rsidP="00A35E8F">
      <w:pPr>
        <w:rPr>
          <w:rFonts w:ascii="Arial" w:hAnsi="Arial" w:cs="Arial"/>
          <w:sz w:val="24"/>
          <w:szCs w:val="24"/>
        </w:rPr>
      </w:pPr>
      <w:r w:rsidRPr="00A35E8F">
        <w:rPr>
          <w:rFonts w:ascii="Arial" w:hAnsi="Arial" w:cs="Arial"/>
          <w:sz w:val="24"/>
          <w:szCs w:val="24"/>
        </w:rPr>
        <w:t xml:space="preserve">Iznenadnom smrću jedinog osnivača /člana društva ujedno i direktora, 2008.godine, izmenjuju se osobe ovlaštene za zastupanje, </w:t>
      </w:r>
      <w:r w:rsidR="00CC57E2">
        <w:rPr>
          <w:rFonts w:ascii="Arial" w:hAnsi="Arial" w:cs="Arial"/>
          <w:sz w:val="24"/>
          <w:szCs w:val="24"/>
        </w:rPr>
        <w:t xml:space="preserve">a kao posljednje upisani </w:t>
      </w:r>
      <w:r>
        <w:rPr>
          <w:rFonts w:ascii="Arial" w:hAnsi="Arial" w:cs="Arial"/>
          <w:sz w:val="24"/>
          <w:szCs w:val="24"/>
        </w:rPr>
        <w:t>do otvaranja stečaja upisan</w:t>
      </w:r>
      <w:r w:rsidR="00CC57E2">
        <w:rPr>
          <w:rFonts w:ascii="Arial" w:hAnsi="Arial" w:cs="Arial"/>
          <w:sz w:val="24"/>
          <w:szCs w:val="24"/>
        </w:rPr>
        <w:t xml:space="preserve"> je bio</w:t>
      </w:r>
      <w:r>
        <w:rPr>
          <w:rFonts w:ascii="Arial" w:hAnsi="Arial" w:cs="Arial"/>
          <w:sz w:val="24"/>
          <w:szCs w:val="24"/>
        </w:rPr>
        <w:t xml:space="preserve"> </w:t>
      </w:r>
      <w:r w:rsidRPr="00A35E8F">
        <w:rPr>
          <w:rFonts w:ascii="Arial" w:hAnsi="Arial" w:cs="Arial"/>
          <w:sz w:val="24"/>
          <w:szCs w:val="24"/>
        </w:rPr>
        <w:t>Ivic</w:t>
      </w:r>
      <w:r>
        <w:rPr>
          <w:rFonts w:ascii="Arial" w:hAnsi="Arial" w:cs="Arial"/>
          <w:sz w:val="24"/>
          <w:szCs w:val="24"/>
        </w:rPr>
        <w:t>a</w:t>
      </w:r>
      <w:r w:rsidRPr="00A35E8F">
        <w:rPr>
          <w:rFonts w:ascii="Arial" w:hAnsi="Arial" w:cs="Arial"/>
          <w:sz w:val="24"/>
          <w:szCs w:val="24"/>
        </w:rPr>
        <w:t xml:space="preserve"> Bilandžić</w:t>
      </w:r>
      <w:r>
        <w:rPr>
          <w:rFonts w:ascii="Arial" w:hAnsi="Arial" w:cs="Arial"/>
          <w:sz w:val="24"/>
          <w:szCs w:val="24"/>
        </w:rPr>
        <w:t>, iz Zagreba, Pavla Hatza 2.</w:t>
      </w:r>
    </w:p>
    <w:p w:rsidR="00A35E8F" w:rsidRDefault="00E9696F" w:rsidP="00A35E8F">
      <w:pPr>
        <w:rPr>
          <w:rFonts w:ascii="Arial" w:hAnsi="Arial" w:cs="Arial"/>
          <w:sz w:val="24"/>
          <w:szCs w:val="24"/>
        </w:rPr>
      </w:pPr>
      <w:r>
        <w:rPr>
          <w:rFonts w:ascii="Arial" w:hAnsi="Arial" w:cs="Arial"/>
          <w:sz w:val="24"/>
          <w:szCs w:val="24"/>
        </w:rPr>
        <w:lastRenderedPageBreak/>
        <w:t xml:space="preserve">Smrću jedinog vlasnika udjela i člana uprave, koncept funkcioniranja nekoliko tvrtki kod kojih je bio jedini osnivač i član uprave ili suvlasnik udjela i jedan od članova uprave, se raspao. Među inim i Savudrija inženjering d.o.o. Tijekom 2009. godine napuštaju ga zadnji zaposlenici. Tako da se od 2009. godine ne obavlja nikakva gospodarska aktivnost. Stoga se može konstatirati da je , u gospodrskom smislu, stečajni dužnik klinički mrtav gospodarski subjekt od 2009. godine. </w:t>
      </w:r>
    </w:p>
    <w:p w:rsidR="00A35E8F" w:rsidRDefault="00A35E8F" w:rsidP="004E0DBC">
      <w:pPr>
        <w:rPr>
          <w:rFonts w:ascii="Arial" w:hAnsi="Arial" w:cs="Arial"/>
          <w:sz w:val="24"/>
          <w:szCs w:val="24"/>
        </w:rPr>
      </w:pPr>
    </w:p>
    <w:p w:rsidR="004E0DBC" w:rsidRPr="002D7F3B" w:rsidRDefault="004E0DBC" w:rsidP="004E0DBC">
      <w:pPr>
        <w:rPr>
          <w:rFonts w:ascii="Arial" w:hAnsi="Arial" w:cs="Arial"/>
          <w:b/>
          <w:sz w:val="24"/>
          <w:szCs w:val="24"/>
        </w:rPr>
      </w:pPr>
      <w:r w:rsidRPr="002D7F3B">
        <w:rPr>
          <w:rFonts w:ascii="Arial" w:hAnsi="Arial" w:cs="Arial"/>
          <w:b/>
          <w:sz w:val="24"/>
          <w:szCs w:val="24"/>
        </w:rPr>
        <w:t>U nastavku o neketninama</w:t>
      </w:r>
      <w:r w:rsidR="00CC57E2">
        <w:rPr>
          <w:rFonts w:ascii="Arial" w:hAnsi="Arial" w:cs="Arial"/>
          <w:b/>
          <w:sz w:val="24"/>
          <w:szCs w:val="24"/>
        </w:rPr>
        <w:t xml:space="preserve"> (imovini) </w:t>
      </w:r>
      <w:r w:rsidRPr="002D7F3B">
        <w:rPr>
          <w:rFonts w:ascii="Arial" w:hAnsi="Arial" w:cs="Arial"/>
          <w:b/>
          <w:sz w:val="24"/>
          <w:szCs w:val="24"/>
        </w:rPr>
        <w:t xml:space="preserve"> i upisanim teretima:</w:t>
      </w:r>
    </w:p>
    <w:p w:rsidR="004E0DBC" w:rsidRDefault="004E0DBC" w:rsidP="004E0DBC">
      <w:pPr>
        <w:rPr>
          <w:rFonts w:ascii="Arial" w:hAnsi="Arial" w:cs="Arial"/>
          <w:sz w:val="24"/>
          <w:szCs w:val="24"/>
        </w:rPr>
      </w:pPr>
      <w:r>
        <w:rPr>
          <w:rFonts w:ascii="Arial" w:hAnsi="Arial" w:cs="Arial"/>
          <w:sz w:val="24"/>
          <w:szCs w:val="24"/>
        </w:rPr>
        <w:t>Kod Općinskog suda u Puli zemljišnoknjižnog odjela u Bujama</w:t>
      </w:r>
      <w:r w:rsidR="00CC57E2">
        <w:rPr>
          <w:rFonts w:ascii="Arial" w:hAnsi="Arial" w:cs="Arial"/>
          <w:sz w:val="24"/>
          <w:szCs w:val="24"/>
        </w:rPr>
        <w:t xml:space="preserve"> stečajni dužnik je upisan kao vlasnik na niže navedenom: </w:t>
      </w:r>
    </w:p>
    <w:p w:rsidR="00E9696F" w:rsidRPr="00E9696F" w:rsidRDefault="00E9696F" w:rsidP="00E9696F">
      <w:pPr>
        <w:rPr>
          <w:rFonts w:ascii="Arial" w:hAnsi="Arial" w:cs="Arial"/>
          <w:sz w:val="24"/>
          <w:szCs w:val="24"/>
        </w:rPr>
      </w:pPr>
      <w:r w:rsidRPr="00E9696F">
        <w:rPr>
          <w:rFonts w:ascii="Arial" w:hAnsi="Arial" w:cs="Arial"/>
          <w:sz w:val="24"/>
          <w:szCs w:val="24"/>
          <w:bdr w:val="single" w:sz="4" w:space="0" w:color="auto"/>
        </w:rPr>
        <w:t>Nekretnine KO Umag</w:t>
      </w:r>
      <w:r w:rsidRPr="00E9696F">
        <w:rPr>
          <w:rFonts w:ascii="Arial" w:hAnsi="Arial" w:cs="Arial"/>
          <w:sz w:val="24"/>
          <w:szCs w:val="24"/>
        </w:rPr>
        <w:t xml:space="preserve">: </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 xml:space="preserve"> Zkul  1948 k.č.br. 1493 u naravi voćnjak pov.  3026 m2 – vlasništvo 1/1</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4734 k.č.br. 1604/6 oranica pov. 396 m2 – vlasništvo ½ (op.suvlasništvo)</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27 k.č.br. 4848 kuća pov. 35 m2 (bez uporab. dozvole), dvorište 352 m2 – vlasništvo 1/1</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3536 k.č.br. 1494/1 oranica pov.2850 m2 – vlasništvo 1/1</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4030 k.č.br. 2901/9 oranica pov. 125m2 – vlasništvo 1/1</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5109 k.č.br. 2662 oranica pov. 5661 m2 – vlasništvo 1/1</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5110 k.č.br. 1494/2 oranica pov. 2852 m2 – vlasništvo 1/1</w:t>
      </w:r>
    </w:p>
    <w:p w:rsidR="00E9696F" w:rsidRPr="00E9696F" w:rsidRDefault="00E9696F" w:rsidP="00E9696F">
      <w:pPr>
        <w:rPr>
          <w:rFonts w:ascii="Arial" w:hAnsi="Arial" w:cs="Arial"/>
          <w:sz w:val="24"/>
          <w:szCs w:val="24"/>
          <w:bdr w:val="single" w:sz="4" w:space="0" w:color="auto"/>
        </w:rPr>
      </w:pPr>
      <w:r w:rsidRPr="00E9696F">
        <w:rPr>
          <w:rFonts w:ascii="Arial" w:hAnsi="Arial" w:cs="Arial"/>
          <w:sz w:val="24"/>
          <w:szCs w:val="24"/>
          <w:bdr w:val="single" w:sz="4" w:space="0" w:color="auto"/>
        </w:rPr>
        <w:t>Nekretnine KO Lovrečica :</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4878 k.č.br.24/21 1do 4 etaže; kuća 232 m2, dvorište 624m2 (ukup.856 m2) – vlasništvo 1/1 na svakoj etaži</w:t>
      </w:r>
    </w:p>
    <w:p w:rsidR="00E9696F" w:rsidRPr="00E9696F" w:rsidRDefault="00E9696F" w:rsidP="00E9696F">
      <w:pPr>
        <w:numPr>
          <w:ilvl w:val="0"/>
          <w:numId w:val="3"/>
        </w:numPr>
        <w:rPr>
          <w:rFonts w:ascii="Arial" w:hAnsi="Arial" w:cs="Arial"/>
          <w:sz w:val="24"/>
          <w:szCs w:val="24"/>
        </w:rPr>
      </w:pPr>
      <w:r w:rsidRPr="00E9696F">
        <w:rPr>
          <w:rFonts w:ascii="Arial" w:hAnsi="Arial" w:cs="Arial"/>
          <w:sz w:val="24"/>
          <w:szCs w:val="24"/>
        </w:rPr>
        <w:t>Zkul 4876 k.č.br. 24/17 1 do 4 etaže; kuća 232 m2, dvorište 624 m2 (ukup.856 m2) – vlasništvo 1/1 na svakoj etaži.</w:t>
      </w:r>
    </w:p>
    <w:p w:rsidR="00E9696F" w:rsidRDefault="00E9696F" w:rsidP="00E9696F">
      <w:pPr>
        <w:ind w:left="360"/>
        <w:rPr>
          <w:rFonts w:ascii="Arial" w:hAnsi="Arial" w:cs="Arial"/>
          <w:sz w:val="24"/>
          <w:szCs w:val="24"/>
        </w:rPr>
      </w:pPr>
      <w:r w:rsidRPr="00E9696F">
        <w:rPr>
          <w:rFonts w:ascii="Arial" w:hAnsi="Arial" w:cs="Arial"/>
          <w:sz w:val="24"/>
          <w:szCs w:val="24"/>
        </w:rPr>
        <w:t>Na ove dvije čestice stoji zabilježba da iste imaju svojstvo kulturnog dobra, te da se stavljaju pod preventivnu zaštitu. Zabilježbe su izvršene u dva navrata. Prva 07.07.2005. pod Z-2716/2005, a druga 08.02.2010. pod Z-762/10 temeljem odgovarajućih rješenja Ministarstva kulture, Uprave za zažtitu kulturne baštine, konzervatorskog odjela Pula. Stavljanje pod preventivnu zaštitu ima rok od 6 godina od dana donošenja rješenja, tj. do 02.02.2016.g. kako su ove dvije čestice uključene u arheoločki nalaz Sv. Ivan Kornetski, kupoprodaja nekretnina na arheološkom lokalitetu se može vršiti pod uvjetima iz članka 36 do 40 Zakona o zaštiti i očuvanju kulturnih dobara.</w:t>
      </w:r>
      <w:r w:rsidR="00B53BE8">
        <w:rPr>
          <w:rFonts w:ascii="Arial" w:hAnsi="Arial" w:cs="Arial"/>
          <w:sz w:val="24"/>
          <w:szCs w:val="24"/>
        </w:rPr>
        <w:t xml:space="preserve"> Stoga je Upravi za zaštitu kulturne baštine-</w:t>
      </w:r>
      <w:r w:rsidR="00B53BE8">
        <w:rPr>
          <w:rFonts w:ascii="Arial" w:hAnsi="Arial" w:cs="Arial"/>
          <w:sz w:val="24"/>
          <w:szCs w:val="24"/>
        </w:rPr>
        <w:lastRenderedPageBreak/>
        <w:t xml:space="preserve">Konzervatorskom odjelu u Puli upućena molba za informacijom, odnosno uvjetima koji eventualno postoje u svezi odredbi članka 36-40 Zakona o zaštiti i očuvanju kulturnih dobara. Dopis je upućen 9.03.2016. i isti je kod adresanta </w:t>
      </w:r>
      <w:r w:rsidR="00B54DEF">
        <w:rPr>
          <w:rFonts w:ascii="Arial" w:hAnsi="Arial" w:cs="Arial"/>
          <w:sz w:val="24"/>
          <w:szCs w:val="24"/>
        </w:rPr>
        <w:t xml:space="preserve">zaprimljen </w:t>
      </w:r>
      <w:r w:rsidR="00B53BE8">
        <w:rPr>
          <w:rFonts w:ascii="Arial" w:hAnsi="Arial" w:cs="Arial"/>
          <w:sz w:val="24"/>
          <w:szCs w:val="24"/>
        </w:rPr>
        <w:t>10.03.2016.</w:t>
      </w:r>
      <w:r w:rsidR="00B54DEF">
        <w:rPr>
          <w:rFonts w:ascii="Arial" w:hAnsi="Arial" w:cs="Arial"/>
          <w:sz w:val="24"/>
          <w:szCs w:val="24"/>
        </w:rPr>
        <w:t>(op. prema povratnici).</w:t>
      </w:r>
      <w:r w:rsidR="00B53BE8">
        <w:rPr>
          <w:rFonts w:ascii="Arial" w:hAnsi="Arial" w:cs="Arial"/>
          <w:sz w:val="24"/>
          <w:szCs w:val="24"/>
        </w:rPr>
        <w:t xml:space="preserve"> Odgovor nije zaprimljen.</w:t>
      </w:r>
      <w:r w:rsidR="00B54DEF">
        <w:rPr>
          <w:rFonts w:ascii="Arial" w:hAnsi="Arial" w:cs="Arial"/>
          <w:sz w:val="24"/>
          <w:szCs w:val="24"/>
        </w:rPr>
        <w:t xml:space="preserve"> </w:t>
      </w:r>
    </w:p>
    <w:p w:rsidR="00B54DEF" w:rsidRDefault="00C53077" w:rsidP="00E9696F">
      <w:pPr>
        <w:ind w:left="360"/>
        <w:rPr>
          <w:rFonts w:ascii="Arial" w:hAnsi="Arial" w:cs="Arial"/>
          <w:sz w:val="24"/>
          <w:szCs w:val="24"/>
        </w:rPr>
      </w:pPr>
      <w:r>
        <w:rPr>
          <w:rFonts w:ascii="Arial" w:hAnsi="Arial" w:cs="Arial"/>
          <w:sz w:val="24"/>
          <w:szCs w:val="24"/>
        </w:rPr>
        <w:t>Iako je izvršeno i provedeno u zemljišnim knjigama etažiranje, stoji zabilježba da uporabna dozvola nije ishođena. Zahtjev za legalizaciju preizgrađenosti je uputila IKB d.d. Umag, kao zainteresirana treća strana. Zahtjev je zaprimljen, ali se povratna informacija nije dobila u smislu  „što treba konkretno učiniti“ radi legalizacije odnosno u konačnici dobivanja uporabne dozvole.</w:t>
      </w:r>
    </w:p>
    <w:p w:rsidR="00CC57E2" w:rsidRDefault="00CC57E2" w:rsidP="00E9696F">
      <w:pPr>
        <w:ind w:left="360"/>
        <w:rPr>
          <w:rFonts w:ascii="Arial" w:hAnsi="Arial" w:cs="Arial"/>
          <w:sz w:val="24"/>
          <w:szCs w:val="24"/>
        </w:rPr>
      </w:pPr>
      <w:r>
        <w:rPr>
          <w:rFonts w:ascii="Arial" w:hAnsi="Arial" w:cs="Arial"/>
          <w:sz w:val="24"/>
          <w:szCs w:val="24"/>
        </w:rPr>
        <w:t xml:space="preserve">Ono što valja ovdje istaknuti je implikacija statusa kulturnog dobra s institutom prava prvokupa, a što bez odgovora Konzervatorskog odjela nije moguće </w:t>
      </w:r>
      <w:r w:rsidR="00611BC3">
        <w:rPr>
          <w:rFonts w:ascii="Arial" w:hAnsi="Arial" w:cs="Arial"/>
          <w:sz w:val="24"/>
          <w:szCs w:val="24"/>
        </w:rPr>
        <w:t>apsolvirati.</w:t>
      </w:r>
      <w:r>
        <w:rPr>
          <w:rFonts w:ascii="Arial" w:hAnsi="Arial" w:cs="Arial"/>
          <w:sz w:val="24"/>
          <w:szCs w:val="24"/>
        </w:rPr>
        <w:t xml:space="preserve"> </w:t>
      </w:r>
    </w:p>
    <w:p w:rsidR="00C53077" w:rsidRDefault="00C53077" w:rsidP="00E9696F">
      <w:pPr>
        <w:ind w:left="360"/>
        <w:rPr>
          <w:rFonts w:ascii="Arial" w:hAnsi="Arial" w:cs="Arial"/>
          <w:sz w:val="24"/>
          <w:szCs w:val="24"/>
        </w:rPr>
      </w:pPr>
    </w:p>
    <w:p w:rsidR="00C53077" w:rsidRPr="00C53077" w:rsidRDefault="00C53077" w:rsidP="00C53077">
      <w:pPr>
        <w:ind w:left="360"/>
        <w:rPr>
          <w:rFonts w:ascii="Arial" w:hAnsi="Arial" w:cs="Arial"/>
          <w:sz w:val="24"/>
          <w:szCs w:val="24"/>
        </w:rPr>
      </w:pPr>
      <w:r w:rsidRPr="00C53077">
        <w:rPr>
          <w:rFonts w:ascii="Arial" w:hAnsi="Arial" w:cs="Arial"/>
          <w:sz w:val="24"/>
          <w:szCs w:val="24"/>
        </w:rPr>
        <w:t xml:space="preserve">OPĆENITO O TERETIMA: </w:t>
      </w:r>
    </w:p>
    <w:p w:rsidR="00C53077" w:rsidRPr="00C53077" w:rsidRDefault="00C53077" w:rsidP="00C53077">
      <w:pPr>
        <w:ind w:left="360"/>
        <w:rPr>
          <w:rFonts w:ascii="Arial" w:hAnsi="Arial" w:cs="Arial"/>
          <w:sz w:val="24"/>
          <w:szCs w:val="24"/>
        </w:rPr>
      </w:pPr>
      <w:r w:rsidRPr="00C53077">
        <w:rPr>
          <w:rFonts w:ascii="Arial" w:hAnsi="Arial" w:cs="Arial"/>
          <w:sz w:val="24"/>
          <w:szCs w:val="24"/>
        </w:rPr>
        <w:t>U svim zkul  kao prvo upisani založni vjerovnik upisana je Istarska kreditna banka Umag d.d., osim u zkul br. 27 za KO Umag na k.č.br. 4848 kuća(bez uporabne dozvole) i dvorište na kojem je prvo upisana Republika Hrvatska, MF PU PU Pazin.</w:t>
      </w:r>
    </w:p>
    <w:p w:rsidR="00C53077" w:rsidRDefault="00DD4377" w:rsidP="00E9696F">
      <w:pPr>
        <w:ind w:left="360"/>
        <w:rPr>
          <w:rFonts w:ascii="Arial" w:hAnsi="Arial" w:cs="Arial"/>
          <w:sz w:val="24"/>
          <w:szCs w:val="24"/>
        </w:rPr>
      </w:pPr>
      <w:r>
        <w:rPr>
          <w:rFonts w:ascii="Arial" w:hAnsi="Arial" w:cs="Arial"/>
          <w:sz w:val="24"/>
          <w:szCs w:val="24"/>
        </w:rPr>
        <w:t>Za p</w:t>
      </w:r>
      <w:r w:rsidR="00C53077">
        <w:rPr>
          <w:rFonts w:ascii="Arial" w:hAnsi="Arial" w:cs="Arial"/>
          <w:sz w:val="24"/>
          <w:szCs w:val="24"/>
        </w:rPr>
        <w:t>okrenut</w:t>
      </w:r>
      <w:r>
        <w:rPr>
          <w:rFonts w:ascii="Arial" w:hAnsi="Arial" w:cs="Arial"/>
          <w:sz w:val="24"/>
          <w:szCs w:val="24"/>
        </w:rPr>
        <w:t>e</w:t>
      </w:r>
      <w:r w:rsidR="00C53077">
        <w:rPr>
          <w:rFonts w:ascii="Arial" w:hAnsi="Arial" w:cs="Arial"/>
          <w:sz w:val="24"/>
          <w:szCs w:val="24"/>
        </w:rPr>
        <w:t xml:space="preserve"> postup</w:t>
      </w:r>
      <w:r>
        <w:rPr>
          <w:rFonts w:ascii="Arial" w:hAnsi="Arial" w:cs="Arial"/>
          <w:sz w:val="24"/>
          <w:szCs w:val="24"/>
        </w:rPr>
        <w:t>ke</w:t>
      </w:r>
      <w:r w:rsidR="00C53077">
        <w:rPr>
          <w:rFonts w:ascii="Arial" w:hAnsi="Arial" w:cs="Arial"/>
          <w:sz w:val="24"/>
          <w:szCs w:val="24"/>
        </w:rPr>
        <w:t xml:space="preserve"> ovrhe na nekretninama stečajnog dužnika i to posl.br. </w:t>
      </w:r>
      <w:r>
        <w:rPr>
          <w:rFonts w:ascii="Arial" w:hAnsi="Arial" w:cs="Arial"/>
          <w:sz w:val="24"/>
          <w:szCs w:val="24"/>
        </w:rPr>
        <w:t>Ovr-1040/16 ovrhovoditelja IKB d.d. Umag i posl.br. Ovr-1039/16 ovrhovoditelja Rep. Hrvatske Ministarstva financija, Općinski sud u Puli Stalna služba u Bujama se oglasio nenadležnim za daljnje vođenje postupka, te će po pravomoćnosti rješenja predmete ustupiti Trgovačkom sudu u Pazinu kao stečajnom sudu.</w:t>
      </w:r>
    </w:p>
    <w:p w:rsidR="00DD4377" w:rsidRDefault="00DD4377" w:rsidP="00E9696F">
      <w:pPr>
        <w:ind w:left="360"/>
        <w:rPr>
          <w:rFonts w:ascii="Arial" w:hAnsi="Arial" w:cs="Arial"/>
          <w:sz w:val="24"/>
          <w:szCs w:val="24"/>
        </w:rPr>
      </w:pPr>
      <w:r>
        <w:rPr>
          <w:rFonts w:ascii="Arial" w:hAnsi="Arial" w:cs="Arial"/>
          <w:sz w:val="24"/>
          <w:szCs w:val="24"/>
        </w:rPr>
        <w:t>Ima se saznanje da je</w:t>
      </w:r>
      <w:r w:rsidR="00611BC3">
        <w:rPr>
          <w:rFonts w:ascii="Arial" w:hAnsi="Arial" w:cs="Arial"/>
          <w:sz w:val="24"/>
          <w:szCs w:val="24"/>
        </w:rPr>
        <w:t xml:space="preserve"> u</w:t>
      </w:r>
      <w:r>
        <w:rPr>
          <w:rFonts w:ascii="Arial" w:hAnsi="Arial" w:cs="Arial"/>
          <w:sz w:val="24"/>
          <w:szCs w:val="24"/>
        </w:rPr>
        <w:t xml:space="preserve"> predmetu ovrhovoditelja IKB d.d. Umag izvršena procjena nekretnina. To bi valjalo poslužiti za donošenje odluke o prodaji u </w:t>
      </w:r>
      <w:r w:rsidR="00611BC3">
        <w:rPr>
          <w:rFonts w:ascii="Arial" w:hAnsi="Arial" w:cs="Arial"/>
          <w:sz w:val="24"/>
          <w:szCs w:val="24"/>
        </w:rPr>
        <w:t xml:space="preserve">ovom </w:t>
      </w:r>
      <w:r>
        <w:rPr>
          <w:rFonts w:ascii="Arial" w:hAnsi="Arial" w:cs="Arial"/>
          <w:sz w:val="24"/>
          <w:szCs w:val="24"/>
        </w:rPr>
        <w:t>stečaju.</w:t>
      </w:r>
    </w:p>
    <w:p w:rsidR="00514125" w:rsidRDefault="00514125" w:rsidP="00E9696F">
      <w:pPr>
        <w:ind w:left="360"/>
        <w:rPr>
          <w:rFonts w:ascii="Arial" w:hAnsi="Arial" w:cs="Arial"/>
          <w:sz w:val="24"/>
          <w:szCs w:val="24"/>
        </w:rPr>
      </w:pPr>
    </w:p>
    <w:p w:rsidR="00514125" w:rsidRDefault="00514125" w:rsidP="00E9696F">
      <w:pPr>
        <w:ind w:left="360"/>
        <w:rPr>
          <w:rFonts w:ascii="Arial" w:hAnsi="Arial" w:cs="Arial"/>
          <w:b/>
          <w:sz w:val="24"/>
          <w:szCs w:val="24"/>
        </w:rPr>
      </w:pPr>
      <w:r>
        <w:rPr>
          <w:rFonts w:ascii="Arial" w:hAnsi="Arial" w:cs="Arial"/>
          <w:b/>
          <w:sz w:val="24"/>
          <w:szCs w:val="24"/>
        </w:rPr>
        <w:t>OBVEZE DUŽNIKA:</w:t>
      </w:r>
    </w:p>
    <w:p w:rsidR="00514125" w:rsidRDefault="00514125" w:rsidP="00E9696F">
      <w:pPr>
        <w:ind w:left="360"/>
        <w:rPr>
          <w:rFonts w:ascii="Arial" w:hAnsi="Arial" w:cs="Arial"/>
          <w:b/>
          <w:sz w:val="24"/>
          <w:szCs w:val="24"/>
        </w:rPr>
      </w:pPr>
      <w:r>
        <w:rPr>
          <w:rFonts w:ascii="Arial" w:hAnsi="Arial" w:cs="Arial"/>
          <w:b/>
          <w:sz w:val="24"/>
          <w:szCs w:val="24"/>
        </w:rPr>
        <w:t>Prema prijavama tražbina, osobni vjerovnici su:</w:t>
      </w:r>
    </w:p>
    <w:p w:rsidR="00514125" w:rsidRDefault="00514125" w:rsidP="00514125">
      <w:pPr>
        <w:numPr>
          <w:ilvl w:val="0"/>
          <w:numId w:val="4"/>
        </w:numPr>
        <w:rPr>
          <w:rFonts w:ascii="Arial" w:hAnsi="Arial" w:cs="Arial"/>
          <w:b/>
          <w:sz w:val="24"/>
          <w:szCs w:val="24"/>
        </w:rPr>
      </w:pPr>
      <w:r>
        <w:rPr>
          <w:rFonts w:ascii="Arial" w:hAnsi="Arial" w:cs="Arial"/>
          <w:b/>
          <w:sz w:val="24"/>
          <w:szCs w:val="24"/>
        </w:rPr>
        <w:t>IKB d.d. Umag sa priznatom tražbinom u visini 1.639.343,38 kn</w:t>
      </w:r>
    </w:p>
    <w:p w:rsidR="00471580" w:rsidRDefault="00471580" w:rsidP="00514125">
      <w:pPr>
        <w:numPr>
          <w:ilvl w:val="0"/>
          <w:numId w:val="4"/>
        </w:numPr>
        <w:rPr>
          <w:rFonts w:ascii="Arial" w:hAnsi="Arial" w:cs="Arial"/>
          <w:b/>
          <w:sz w:val="24"/>
          <w:szCs w:val="24"/>
        </w:rPr>
      </w:pPr>
      <w:r>
        <w:rPr>
          <w:rFonts w:ascii="Arial" w:hAnsi="Arial" w:cs="Arial"/>
          <w:b/>
          <w:sz w:val="24"/>
          <w:szCs w:val="24"/>
        </w:rPr>
        <w:t>Grad Umag sa priznatom tražbinom u visini 2.675,36 kn.</w:t>
      </w:r>
    </w:p>
    <w:p w:rsidR="00471580" w:rsidRDefault="00471580" w:rsidP="00514125">
      <w:pPr>
        <w:numPr>
          <w:ilvl w:val="0"/>
          <w:numId w:val="4"/>
        </w:numPr>
        <w:rPr>
          <w:rFonts w:ascii="Arial" w:hAnsi="Arial" w:cs="Arial"/>
          <w:b/>
          <w:sz w:val="24"/>
          <w:szCs w:val="24"/>
        </w:rPr>
      </w:pPr>
      <w:r>
        <w:rPr>
          <w:rFonts w:ascii="Arial" w:hAnsi="Arial" w:cs="Arial"/>
          <w:b/>
          <w:sz w:val="24"/>
          <w:szCs w:val="24"/>
        </w:rPr>
        <w:t>Rep. Hrvatska, Ministarstvo financija ..u visini 249.058,21 kn</w:t>
      </w:r>
    </w:p>
    <w:p w:rsidR="00471580" w:rsidRDefault="00471580" w:rsidP="00471580">
      <w:pPr>
        <w:rPr>
          <w:rFonts w:ascii="Arial" w:hAnsi="Arial" w:cs="Arial"/>
          <w:b/>
          <w:sz w:val="24"/>
          <w:szCs w:val="24"/>
        </w:rPr>
      </w:pPr>
      <w:r>
        <w:rPr>
          <w:rFonts w:ascii="Arial" w:hAnsi="Arial" w:cs="Arial"/>
          <w:b/>
          <w:sz w:val="24"/>
          <w:szCs w:val="24"/>
        </w:rPr>
        <w:t xml:space="preserve">      Razlučno pravo na nekretninama je upisano u korist:</w:t>
      </w:r>
    </w:p>
    <w:p w:rsidR="00471580" w:rsidRDefault="00471580" w:rsidP="00471580">
      <w:pPr>
        <w:numPr>
          <w:ilvl w:val="0"/>
          <w:numId w:val="5"/>
        </w:numPr>
        <w:rPr>
          <w:rFonts w:ascii="Arial" w:hAnsi="Arial" w:cs="Arial"/>
          <w:b/>
          <w:sz w:val="24"/>
          <w:szCs w:val="24"/>
        </w:rPr>
      </w:pPr>
      <w:r>
        <w:rPr>
          <w:rFonts w:ascii="Arial" w:hAnsi="Arial" w:cs="Arial"/>
          <w:b/>
          <w:sz w:val="24"/>
          <w:szCs w:val="24"/>
        </w:rPr>
        <w:lastRenderedPageBreak/>
        <w:t>IKB d.d. Umag u iznosu od 31.069.343,38 kn od čega za obveze trećih 29.430.181,48 kn, a za obveze kao osobni dužnik 1.639.343,38 kn;</w:t>
      </w:r>
    </w:p>
    <w:p w:rsidR="006F6A58" w:rsidRDefault="00471580" w:rsidP="00471580">
      <w:pPr>
        <w:numPr>
          <w:ilvl w:val="0"/>
          <w:numId w:val="5"/>
        </w:numPr>
        <w:rPr>
          <w:rFonts w:ascii="Arial" w:hAnsi="Arial" w:cs="Arial"/>
          <w:b/>
          <w:sz w:val="24"/>
          <w:szCs w:val="24"/>
        </w:rPr>
      </w:pPr>
      <w:r>
        <w:rPr>
          <w:rFonts w:ascii="Arial" w:hAnsi="Arial" w:cs="Arial"/>
          <w:b/>
          <w:sz w:val="24"/>
          <w:szCs w:val="24"/>
        </w:rPr>
        <w:t>RH MF Porezna, osobni vjerovnik, sa iznosom (nominalnim)</w:t>
      </w:r>
      <w:r w:rsidR="00127B94">
        <w:rPr>
          <w:rFonts w:ascii="Arial" w:hAnsi="Arial" w:cs="Arial"/>
          <w:b/>
          <w:sz w:val="24"/>
          <w:szCs w:val="24"/>
        </w:rPr>
        <w:t xml:space="preserve"> 136.403,35 sa troškovima i zateznom kamatom (po prijavi 241.589,73 kn)</w:t>
      </w:r>
      <w:r w:rsidR="006F6A58">
        <w:rPr>
          <w:rFonts w:ascii="Arial" w:hAnsi="Arial" w:cs="Arial"/>
          <w:b/>
          <w:sz w:val="24"/>
          <w:szCs w:val="24"/>
        </w:rPr>
        <w:t>.</w:t>
      </w:r>
    </w:p>
    <w:p w:rsidR="00FC58B4" w:rsidRDefault="006F6A58" w:rsidP="006F6A58">
      <w:pPr>
        <w:ind w:left="675"/>
        <w:rPr>
          <w:rFonts w:ascii="Arial" w:hAnsi="Arial" w:cs="Arial"/>
          <w:b/>
          <w:sz w:val="24"/>
          <w:szCs w:val="24"/>
        </w:rPr>
      </w:pPr>
      <w:r>
        <w:rPr>
          <w:rFonts w:ascii="Arial" w:hAnsi="Arial" w:cs="Arial"/>
          <w:b/>
          <w:sz w:val="24"/>
          <w:szCs w:val="24"/>
        </w:rPr>
        <w:t>Oba razlučna vjerovnika se u prijavi razlučnog prava nisu očitovala o predvidivom iznosu kojim se neće namiriti iz razlučnog prava.</w:t>
      </w:r>
      <w:r w:rsidR="00FC58B4">
        <w:rPr>
          <w:rFonts w:ascii="Arial" w:hAnsi="Arial" w:cs="Arial"/>
          <w:b/>
          <w:sz w:val="24"/>
          <w:szCs w:val="24"/>
        </w:rPr>
        <w:t xml:space="preserve"> </w:t>
      </w:r>
    </w:p>
    <w:p w:rsidR="00611BC3" w:rsidRDefault="00611BC3" w:rsidP="00611BC3">
      <w:pPr>
        <w:rPr>
          <w:rFonts w:ascii="Arial" w:hAnsi="Arial" w:cs="Arial"/>
          <w:sz w:val="24"/>
          <w:szCs w:val="24"/>
        </w:rPr>
      </w:pPr>
    </w:p>
    <w:p w:rsidR="00611BC3" w:rsidRDefault="00611BC3" w:rsidP="00611BC3">
      <w:pPr>
        <w:rPr>
          <w:rFonts w:ascii="Arial" w:hAnsi="Arial" w:cs="Arial"/>
          <w:sz w:val="24"/>
          <w:szCs w:val="24"/>
        </w:rPr>
      </w:pPr>
      <w:r>
        <w:rPr>
          <w:rFonts w:ascii="Arial" w:hAnsi="Arial" w:cs="Arial"/>
          <w:sz w:val="24"/>
          <w:szCs w:val="24"/>
        </w:rPr>
        <w:t>Buzet/Umag, 04. travnja 2016.                                           STEČAJNI UPRAVITELJ:</w:t>
      </w:r>
    </w:p>
    <w:p w:rsidR="00611BC3" w:rsidRDefault="00611BC3" w:rsidP="00611BC3">
      <w:pPr>
        <w:rPr>
          <w:rFonts w:ascii="Arial" w:hAnsi="Arial" w:cs="Arial"/>
          <w:sz w:val="24"/>
          <w:szCs w:val="24"/>
        </w:rPr>
      </w:pPr>
      <w:r>
        <w:rPr>
          <w:rFonts w:ascii="Arial" w:hAnsi="Arial" w:cs="Arial"/>
          <w:sz w:val="24"/>
          <w:szCs w:val="24"/>
        </w:rPr>
        <w:t xml:space="preserve">                                                                                           Boris Zadković, dipl.oec.</w:t>
      </w:r>
    </w:p>
    <w:p w:rsidR="009E77E7" w:rsidRDefault="009E77E7" w:rsidP="00611BC3">
      <w:pPr>
        <w:rPr>
          <w:rFonts w:ascii="Arial" w:hAnsi="Arial" w:cs="Arial"/>
          <w:sz w:val="24"/>
          <w:szCs w:val="24"/>
        </w:rPr>
      </w:pPr>
    </w:p>
    <w:p w:rsidR="009E77E7" w:rsidRPr="00611BC3" w:rsidRDefault="009E77E7" w:rsidP="009E77E7">
      <w:pPr>
        <w:jc w:val="center"/>
        <w:rPr>
          <w:rFonts w:ascii="Arial" w:hAnsi="Arial" w:cs="Arial"/>
          <w:sz w:val="24"/>
          <w:szCs w:val="24"/>
        </w:rPr>
      </w:pPr>
    </w:p>
    <w:p w:rsidR="00FC58B4" w:rsidRDefault="00FC58B4" w:rsidP="006F6A58">
      <w:pPr>
        <w:ind w:left="675"/>
        <w:rPr>
          <w:rFonts w:ascii="Arial" w:hAnsi="Arial" w:cs="Arial"/>
          <w:b/>
          <w:sz w:val="24"/>
          <w:szCs w:val="24"/>
        </w:rPr>
      </w:pPr>
    </w:p>
    <w:p w:rsidR="00471580" w:rsidRPr="00514125" w:rsidRDefault="00471580" w:rsidP="006F6A58">
      <w:pPr>
        <w:ind w:left="675"/>
        <w:rPr>
          <w:rFonts w:ascii="Arial" w:hAnsi="Arial" w:cs="Arial"/>
          <w:b/>
          <w:sz w:val="24"/>
          <w:szCs w:val="24"/>
        </w:rPr>
      </w:pPr>
      <w:r>
        <w:rPr>
          <w:rFonts w:ascii="Arial" w:hAnsi="Arial" w:cs="Arial"/>
          <w:b/>
          <w:sz w:val="24"/>
          <w:szCs w:val="24"/>
        </w:rPr>
        <w:tab/>
      </w: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E9696F" w:rsidRDefault="00E9696F" w:rsidP="004E0DBC">
      <w:pPr>
        <w:rPr>
          <w:rFonts w:ascii="Arial" w:hAnsi="Arial" w:cs="Arial"/>
          <w:sz w:val="24"/>
          <w:szCs w:val="24"/>
        </w:rPr>
      </w:pPr>
    </w:p>
    <w:p w:rsidR="0057185B" w:rsidRPr="00996D31" w:rsidRDefault="0057185B">
      <w:pPr>
        <w:rPr>
          <w:rFonts w:ascii="Arial Black" w:hAnsi="Arial Black"/>
          <w:sz w:val="24"/>
          <w:szCs w:val="24"/>
        </w:rPr>
      </w:pPr>
    </w:p>
    <w:sectPr w:rsidR="0057185B" w:rsidRPr="00996D31" w:rsidSect="0057185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D6B" w:rsidRDefault="00511D6B" w:rsidP="00996D31">
      <w:pPr>
        <w:spacing w:after="0" w:line="240" w:lineRule="auto"/>
      </w:pPr>
      <w:r>
        <w:separator/>
      </w:r>
    </w:p>
  </w:endnote>
  <w:endnote w:type="continuationSeparator" w:id="0">
    <w:p w:rsidR="00511D6B" w:rsidRDefault="00511D6B" w:rsidP="00996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7E7" w:rsidRDefault="009E77E7">
    <w:pPr>
      <w:pStyle w:val="Podnoje"/>
      <w:jc w:val="center"/>
    </w:pPr>
    <w:r>
      <w:t xml:space="preserve">str. </w:t>
    </w:r>
    <w:r>
      <w:rPr>
        <w:b/>
        <w:sz w:val="24"/>
        <w:szCs w:val="24"/>
      </w:rPr>
      <w:fldChar w:fldCharType="begin"/>
    </w:r>
    <w:r>
      <w:rPr>
        <w:b/>
      </w:rPr>
      <w:instrText xml:space="preserve"> PAGE </w:instrText>
    </w:r>
    <w:r>
      <w:rPr>
        <w:b/>
        <w:sz w:val="24"/>
        <w:szCs w:val="24"/>
      </w:rPr>
      <w:fldChar w:fldCharType="separate"/>
    </w:r>
    <w:r w:rsidR="004D28E9">
      <w:rPr>
        <w:b/>
        <w:noProof/>
      </w:rPr>
      <w:t>1</w:t>
    </w:r>
    <w:r>
      <w:rPr>
        <w:b/>
        <w:sz w:val="24"/>
        <w:szCs w:val="24"/>
      </w:rPr>
      <w:fldChar w:fldCharType="end"/>
    </w:r>
    <w:r>
      <w:t xml:space="preserve"> od </w:t>
    </w:r>
    <w:r>
      <w:rPr>
        <w:b/>
        <w:sz w:val="24"/>
        <w:szCs w:val="24"/>
      </w:rPr>
      <w:fldChar w:fldCharType="begin"/>
    </w:r>
    <w:r>
      <w:rPr>
        <w:b/>
      </w:rPr>
      <w:instrText xml:space="preserve"> NUMPAGES  </w:instrText>
    </w:r>
    <w:r>
      <w:rPr>
        <w:b/>
        <w:sz w:val="24"/>
        <w:szCs w:val="24"/>
      </w:rPr>
      <w:fldChar w:fldCharType="separate"/>
    </w:r>
    <w:r w:rsidR="004D28E9">
      <w:rPr>
        <w:b/>
        <w:noProof/>
      </w:rPr>
      <w:t>4</w:t>
    </w:r>
    <w:r>
      <w:rPr>
        <w:b/>
        <w:sz w:val="24"/>
        <w:szCs w:val="24"/>
      </w:rPr>
      <w:fldChar w:fldCharType="end"/>
    </w:r>
  </w:p>
  <w:p w:rsidR="009E77E7" w:rsidRDefault="009E77E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D6B" w:rsidRDefault="00511D6B" w:rsidP="00996D31">
      <w:pPr>
        <w:spacing w:after="0" w:line="240" w:lineRule="auto"/>
      </w:pPr>
      <w:r>
        <w:separator/>
      </w:r>
    </w:p>
  </w:footnote>
  <w:footnote w:type="continuationSeparator" w:id="0">
    <w:p w:rsidR="00511D6B" w:rsidRDefault="00511D6B" w:rsidP="00996D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D31" w:rsidRDefault="00996D31">
    <w:pPr>
      <w:pStyle w:val="Zaglavlje"/>
    </w:pPr>
    <w:r>
      <w:t>SAVUDRIJA INŽENJERING d.o.o. u stečaju, Crveni Vrh 160, 52470 UMAG (OIB:47689503586)</w:t>
    </w:r>
  </w:p>
  <w:p w:rsidR="00996D31" w:rsidRDefault="00996D31">
    <w:pPr>
      <w:pStyle w:val="Zaglavlje"/>
    </w:pPr>
    <w:r>
      <w:t>IBAN: HR 27 2380006 1146005014 kod IKB Umag d.d.</w:t>
    </w:r>
  </w:p>
  <w:p w:rsidR="00996D31" w:rsidRDefault="00996D31">
    <w:pPr>
      <w:pStyle w:val="Zaglavlje"/>
    </w:pPr>
    <w:r>
      <w:t>Trgovački sud u Pazinu posl.br. St-192/15 od 22.12.2015.</w:t>
    </w:r>
  </w:p>
  <w:p w:rsidR="00996D31" w:rsidRPr="00996D31" w:rsidRDefault="00996D31">
    <w:pPr>
      <w:pStyle w:val="Zaglavlje"/>
    </w:pPr>
    <w:r w:rsidRPr="00996D31">
      <w:rPr>
        <w:u w:val="single"/>
      </w:rPr>
      <w:t>za korespondenciju: Boris Zadković, stečajni upravitelj, Sportska ul.2, 52420 Buzet</w:t>
    </w:r>
    <w:r>
      <w:rPr>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A3D26"/>
    <w:multiLevelType w:val="hybridMultilevel"/>
    <w:tmpl w:val="ED6E4E3C"/>
    <w:lvl w:ilvl="0" w:tplc="20A4AACC">
      <w:start w:val="2"/>
      <w:numFmt w:val="bullet"/>
      <w:lvlText w:val="-"/>
      <w:lvlJc w:val="left"/>
      <w:pPr>
        <w:ind w:left="1065" w:hanging="360"/>
      </w:pPr>
      <w:rPr>
        <w:rFonts w:ascii="Tahoma" w:eastAsia="Calibri" w:hAnsi="Tahoma" w:cs="Tahoma"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
    <w:nsid w:val="0A94703D"/>
    <w:multiLevelType w:val="hybridMultilevel"/>
    <w:tmpl w:val="D3D2B582"/>
    <w:lvl w:ilvl="0" w:tplc="2F98291E">
      <w:start w:val="1"/>
      <w:numFmt w:val="decimal"/>
      <w:lvlText w:val="%1."/>
      <w:lvlJc w:val="left"/>
      <w:pPr>
        <w:ind w:left="675" w:hanging="360"/>
      </w:pPr>
      <w:rPr>
        <w:rFonts w:hint="default"/>
      </w:rPr>
    </w:lvl>
    <w:lvl w:ilvl="1" w:tplc="041A0019" w:tentative="1">
      <w:start w:val="1"/>
      <w:numFmt w:val="lowerLetter"/>
      <w:lvlText w:val="%2."/>
      <w:lvlJc w:val="left"/>
      <w:pPr>
        <w:ind w:left="1395" w:hanging="360"/>
      </w:pPr>
    </w:lvl>
    <w:lvl w:ilvl="2" w:tplc="041A001B" w:tentative="1">
      <w:start w:val="1"/>
      <w:numFmt w:val="lowerRoman"/>
      <w:lvlText w:val="%3."/>
      <w:lvlJc w:val="right"/>
      <w:pPr>
        <w:ind w:left="2115" w:hanging="180"/>
      </w:pPr>
    </w:lvl>
    <w:lvl w:ilvl="3" w:tplc="041A000F" w:tentative="1">
      <w:start w:val="1"/>
      <w:numFmt w:val="decimal"/>
      <w:lvlText w:val="%4."/>
      <w:lvlJc w:val="left"/>
      <w:pPr>
        <w:ind w:left="2835" w:hanging="360"/>
      </w:pPr>
    </w:lvl>
    <w:lvl w:ilvl="4" w:tplc="041A0019" w:tentative="1">
      <w:start w:val="1"/>
      <w:numFmt w:val="lowerLetter"/>
      <w:lvlText w:val="%5."/>
      <w:lvlJc w:val="left"/>
      <w:pPr>
        <w:ind w:left="3555" w:hanging="360"/>
      </w:pPr>
    </w:lvl>
    <w:lvl w:ilvl="5" w:tplc="041A001B" w:tentative="1">
      <w:start w:val="1"/>
      <w:numFmt w:val="lowerRoman"/>
      <w:lvlText w:val="%6."/>
      <w:lvlJc w:val="right"/>
      <w:pPr>
        <w:ind w:left="4275" w:hanging="180"/>
      </w:pPr>
    </w:lvl>
    <w:lvl w:ilvl="6" w:tplc="041A000F" w:tentative="1">
      <w:start w:val="1"/>
      <w:numFmt w:val="decimal"/>
      <w:lvlText w:val="%7."/>
      <w:lvlJc w:val="left"/>
      <w:pPr>
        <w:ind w:left="4995" w:hanging="360"/>
      </w:pPr>
    </w:lvl>
    <w:lvl w:ilvl="7" w:tplc="041A0019" w:tentative="1">
      <w:start w:val="1"/>
      <w:numFmt w:val="lowerLetter"/>
      <w:lvlText w:val="%8."/>
      <w:lvlJc w:val="left"/>
      <w:pPr>
        <w:ind w:left="5715" w:hanging="360"/>
      </w:pPr>
    </w:lvl>
    <w:lvl w:ilvl="8" w:tplc="041A001B" w:tentative="1">
      <w:start w:val="1"/>
      <w:numFmt w:val="lowerRoman"/>
      <w:lvlText w:val="%9."/>
      <w:lvlJc w:val="right"/>
      <w:pPr>
        <w:ind w:left="6435" w:hanging="180"/>
      </w:pPr>
    </w:lvl>
  </w:abstractNum>
  <w:abstractNum w:abstractNumId="2">
    <w:nsid w:val="0AEB1AC8"/>
    <w:multiLevelType w:val="hybridMultilevel"/>
    <w:tmpl w:val="CE2860CE"/>
    <w:lvl w:ilvl="0" w:tplc="0010DD9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64600E79"/>
    <w:multiLevelType w:val="hybridMultilevel"/>
    <w:tmpl w:val="7BFCD7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78291CEB"/>
    <w:multiLevelType w:val="hybridMultilevel"/>
    <w:tmpl w:val="2ACE73FE"/>
    <w:lvl w:ilvl="0" w:tplc="39B652BA">
      <w:start w:val="1"/>
      <w:numFmt w:val="lowerLetter"/>
      <w:lvlText w:val="%1)"/>
      <w:lvlJc w:val="left"/>
      <w:pPr>
        <w:ind w:left="1455" w:hanging="360"/>
      </w:pPr>
      <w:rPr>
        <w:rFonts w:hint="default"/>
      </w:rPr>
    </w:lvl>
    <w:lvl w:ilvl="1" w:tplc="041A0019" w:tentative="1">
      <w:start w:val="1"/>
      <w:numFmt w:val="lowerLetter"/>
      <w:lvlText w:val="%2."/>
      <w:lvlJc w:val="left"/>
      <w:pPr>
        <w:ind w:left="2175" w:hanging="360"/>
      </w:pPr>
    </w:lvl>
    <w:lvl w:ilvl="2" w:tplc="041A001B" w:tentative="1">
      <w:start w:val="1"/>
      <w:numFmt w:val="lowerRoman"/>
      <w:lvlText w:val="%3."/>
      <w:lvlJc w:val="right"/>
      <w:pPr>
        <w:ind w:left="2895" w:hanging="180"/>
      </w:pPr>
    </w:lvl>
    <w:lvl w:ilvl="3" w:tplc="041A000F" w:tentative="1">
      <w:start w:val="1"/>
      <w:numFmt w:val="decimal"/>
      <w:lvlText w:val="%4."/>
      <w:lvlJc w:val="left"/>
      <w:pPr>
        <w:ind w:left="3615" w:hanging="360"/>
      </w:pPr>
    </w:lvl>
    <w:lvl w:ilvl="4" w:tplc="041A0019" w:tentative="1">
      <w:start w:val="1"/>
      <w:numFmt w:val="lowerLetter"/>
      <w:lvlText w:val="%5."/>
      <w:lvlJc w:val="left"/>
      <w:pPr>
        <w:ind w:left="4335" w:hanging="360"/>
      </w:pPr>
    </w:lvl>
    <w:lvl w:ilvl="5" w:tplc="041A001B" w:tentative="1">
      <w:start w:val="1"/>
      <w:numFmt w:val="lowerRoman"/>
      <w:lvlText w:val="%6."/>
      <w:lvlJc w:val="right"/>
      <w:pPr>
        <w:ind w:left="5055" w:hanging="180"/>
      </w:pPr>
    </w:lvl>
    <w:lvl w:ilvl="6" w:tplc="041A000F" w:tentative="1">
      <w:start w:val="1"/>
      <w:numFmt w:val="decimal"/>
      <w:lvlText w:val="%7."/>
      <w:lvlJc w:val="left"/>
      <w:pPr>
        <w:ind w:left="5775" w:hanging="360"/>
      </w:pPr>
    </w:lvl>
    <w:lvl w:ilvl="7" w:tplc="041A0019" w:tentative="1">
      <w:start w:val="1"/>
      <w:numFmt w:val="lowerLetter"/>
      <w:lvlText w:val="%8."/>
      <w:lvlJc w:val="left"/>
      <w:pPr>
        <w:ind w:left="6495" w:hanging="360"/>
      </w:pPr>
    </w:lvl>
    <w:lvl w:ilvl="8" w:tplc="041A001B" w:tentative="1">
      <w:start w:val="1"/>
      <w:numFmt w:val="lowerRoman"/>
      <w:lvlText w:val="%9."/>
      <w:lvlJc w:val="right"/>
      <w:pPr>
        <w:ind w:left="7215"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D31"/>
    <w:rsid w:val="00093118"/>
    <w:rsid w:val="00127B94"/>
    <w:rsid w:val="00196A72"/>
    <w:rsid w:val="00276015"/>
    <w:rsid w:val="002E52F0"/>
    <w:rsid w:val="00312359"/>
    <w:rsid w:val="00380315"/>
    <w:rsid w:val="004212FB"/>
    <w:rsid w:val="00471580"/>
    <w:rsid w:val="004D28E9"/>
    <w:rsid w:val="004E0DBC"/>
    <w:rsid w:val="00511D6B"/>
    <w:rsid w:val="00514125"/>
    <w:rsid w:val="0057185B"/>
    <w:rsid w:val="00611BC3"/>
    <w:rsid w:val="006F6A58"/>
    <w:rsid w:val="00996D31"/>
    <w:rsid w:val="009E77E7"/>
    <w:rsid w:val="00A35E8F"/>
    <w:rsid w:val="00B53BE8"/>
    <w:rsid w:val="00B54DEF"/>
    <w:rsid w:val="00BB0721"/>
    <w:rsid w:val="00C53077"/>
    <w:rsid w:val="00CC57E2"/>
    <w:rsid w:val="00DD4377"/>
    <w:rsid w:val="00E9696F"/>
    <w:rsid w:val="00FA2DD3"/>
    <w:rsid w:val="00FC58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85B"/>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996D3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96D31"/>
  </w:style>
  <w:style w:type="paragraph" w:styleId="Podnoje">
    <w:name w:val="footer"/>
    <w:basedOn w:val="Normal"/>
    <w:link w:val="PodnojeChar"/>
    <w:uiPriority w:val="99"/>
    <w:unhideWhenUsed/>
    <w:rsid w:val="00996D3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96D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85B"/>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996D3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96D31"/>
  </w:style>
  <w:style w:type="paragraph" w:styleId="Podnoje">
    <w:name w:val="footer"/>
    <w:basedOn w:val="Normal"/>
    <w:link w:val="PodnojeChar"/>
    <w:uiPriority w:val="99"/>
    <w:unhideWhenUsed/>
    <w:rsid w:val="00996D3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96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984</Words>
  <Characters>5612</Characters>
  <Application>Microsoft Office Word</Application>
  <DocSecurity>4</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Jasmina Matika</cp:lastModifiedBy>
  <cp:revision>2</cp:revision>
  <cp:lastPrinted>2016-04-04T08:31:00Z</cp:lastPrinted>
  <dcterms:created xsi:type="dcterms:W3CDTF">2016-04-04T12:39:00Z</dcterms:created>
  <dcterms:modified xsi:type="dcterms:W3CDTF">2016-04-04T12:39:00Z</dcterms:modified>
</cp:coreProperties>
</file>